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6BEA173"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1517E0">
        <w:rPr>
          <w:rFonts w:cs="B Mitra" w:hint="cs"/>
          <w:b/>
          <w:bCs/>
          <w:sz w:val="32"/>
          <w:szCs w:val="32"/>
          <w:rtl/>
          <w:lang w:bidi="fa-IR"/>
        </w:rPr>
        <w:t>9</w:t>
      </w:r>
      <w:r w:rsidR="0017786A">
        <w:rPr>
          <w:rFonts w:cs="B Mitra" w:hint="cs"/>
          <w:b/>
          <w:bCs/>
          <w:sz w:val="32"/>
          <w:szCs w:val="32"/>
          <w:rtl/>
          <w:lang w:bidi="fa-IR"/>
        </w:rPr>
        <w:t>5</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51FEE9A3" w14:textId="0BBCFD70" w:rsidR="00DF78ED" w:rsidRDefault="0017786A" w:rsidP="000E4FA5">
      <w:pPr>
        <w:widowControl w:val="0"/>
        <w:bidi/>
        <w:spacing w:after="0" w:line="257"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فرمايشات صاحب جواهر در خصوص حق مادر در تعيين مرضعه و استحقاق او برای دريافت اجرت رضاع ولو بدون مباشرت در آن و بدون قرارداد اجاره را جلسه قبل خدمتتان عرض کرديم.</w:t>
      </w:r>
    </w:p>
    <w:p w14:paraId="07CC741A" w14:textId="77777777" w:rsidR="0017786A" w:rsidRDefault="0017786A" w:rsidP="000E4FA5">
      <w:pPr>
        <w:widowControl w:val="0"/>
        <w:bidi/>
        <w:spacing w:after="0" w:line="257"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ولی همان گونه که گذشت، مدعای ايشان قابل التزام نيست، زيرا گفتيم که اطلاقی در ادله وجود ندارد که حق استرضاع برای طفل را برای مادر ثابت کند، بلکه حداکثر چيزی که از ادله قابل برداشت است، حق مادر برای ارضاع طفل است.</w:t>
      </w:r>
    </w:p>
    <w:p w14:paraId="498ECFA7" w14:textId="77777777" w:rsidR="0017786A" w:rsidRDefault="0017786A" w:rsidP="000E4FA5">
      <w:pPr>
        <w:widowControl w:val="0"/>
        <w:bidi/>
        <w:spacing w:after="0" w:line="257"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مضافاً بر اين که مادر حتی اگر خود بدون مطالبه پدر طفل به او شير بدهد، حق مطالبه اجرت را نخواهد داشت، چه رسد به اين که طفل را به مرضعه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ای بدهد و سپس اجرت ارضاع وی را مطالبه نمايد و آنچه که در صحيحه عبدالله بن سنان آمده است، همان گونه که گذشت، خلاف قاعده است و بايد به مورد آن ـ يعنی جايی که پدر مرتضع از دنيا رفته باشد ـ بسنده نمود.</w:t>
      </w:r>
    </w:p>
    <w:p w14:paraId="06C11B14" w14:textId="77777777" w:rsidR="0017786A" w:rsidRDefault="0017786A" w:rsidP="000E4FA5">
      <w:pPr>
        <w:widowControl w:val="0"/>
        <w:bidi/>
        <w:spacing w:after="0" w:line="257"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و نيز آنچه که در صحيحه مذکور آمده است، در جايی است که جاريه مادر که منافع مالی وی متعلق به مادر است، به طفل شير داده باشد، اما اگر مرضعه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ای حره که منافع وی متعلق به خود وی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باشد مجّاناً به طفل شير دهد، وجهی برای مطالبه اجرت ارضاع وی توسط مادر وجود ندارد، چون در هيچ دليلی اطلاقی مبنی بر تملّک مادر برای اجرت رضاع طفل در جميع صور وجود ندارد، بلکه تمامی ادله استحقاق مادر برای اجرت رضاع را در صورتی بيان کرده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اند که ارضاع توسط خود وی انجام بگيرد.</w:t>
      </w:r>
    </w:p>
    <w:p w14:paraId="393886D6" w14:textId="77777777" w:rsidR="0017786A" w:rsidRDefault="0017786A" w:rsidP="000E4FA5">
      <w:pPr>
        <w:widowControl w:val="0"/>
        <w:bidi/>
        <w:spacing w:after="0" w:line="257"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اما آنچه که ايشان ادعا کرده مبنی بر اين که مرضعه متبرعه، از جانب مادر تبرع کرده، فلذا اجرت رضاع وی به مادر تعلق خواهد گرفت، در جايی قابليت التزام دارد که ابتدا مادر به واسطه قرارداد اجاره مستحق اجرت شده باشد </w:t>
      </w:r>
      <w:r>
        <w:rPr>
          <w:rFonts w:ascii="Traditional Arabic" w:hAnsi="Traditional Arabic" w:cs="Abz-2 (Badr)" w:hint="cs"/>
          <w:color w:val="000000" w:themeColor="text1"/>
          <w:sz w:val="28"/>
          <w:szCs w:val="28"/>
          <w:rtl/>
          <w:lang w:bidi="fa-IR"/>
        </w:rPr>
        <w:lastRenderedPageBreak/>
        <w:t>و سپس مرضعه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ای از جانب وی تبرّع کرده باشد، نه اين که استحقاق اجرت برای مادر به واسطه تبرّع مرضعه صورت بپذيرد.</w:t>
      </w:r>
    </w:p>
    <w:p w14:paraId="41E4595D" w14:textId="77777777" w:rsidR="00C33D44" w:rsidRPr="000B420A" w:rsidRDefault="00C33D44" w:rsidP="000E4FA5">
      <w:pPr>
        <w:widowControl w:val="0"/>
        <w:bidi/>
        <w:spacing w:after="0" w:line="257" w:lineRule="auto"/>
        <w:ind w:firstLine="284"/>
        <w:jc w:val="both"/>
        <w:rPr>
          <w:rFonts w:ascii="Traditional Arabic" w:hAnsi="Traditional Arabic" w:cs="Abz-2 (Badr)"/>
          <w:color w:val="C45911" w:themeColor="accent2" w:themeShade="BF"/>
          <w:sz w:val="28"/>
          <w:szCs w:val="28"/>
          <w:rtl/>
          <w:lang w:bidi="fa-IR"/>
        </w:rPr>
      </w:pPr>
      <w:r w:rsidRPr="000B420A">
        <w:rPr>
          <w:rFonts w:ascii="Traditional Arabic" w:hAnsi="Traditional Arabic" w:cs="Abz-2 (Badr)" w:hint="cs"/>
          <w:color w:val="C45911" w:themeColor="accent2" w:themeShade="BF"/>
          <w:sz w:val="28"/>
          <w:szCs w:val="28"/>
          <w:rtl/>
          <w:lang w:bidi="fa-IR"/>
        </w:rPr>
        <w:t>مسأله دوم: تکليف پدر در مدتی که طفل مشغول به شير خوردن است، چيست؟</w:t>
      </w:r>
    </w:p>
    <w:p w14:paraId="5A93048F" w14:textId="6965DF5A" w:rsidR="00C33D44" w:rsidRDefault="00C33D44" w:rsidP="000E4FA5">
      <w:pPr>
        <w:widowControl w:val="0"/>
        <w:bidi/>
        <w:spacing w:after="0" w:line="257" w:lineRule="auto"/>
        <w:ind w:firstLine="284"/>
        <w:jc w:val="both"/>
        <w:rPr>
          <w:rFonts w:ascii="Traditional Arabic" w:hAnsi="Traditional Arabic" w:cs="Abz-2 (Badr)"/>
          <w:color w:val="000000" w:themeColor="text1"/>
          <w:sz w:val="28"/>
          <w:szCs w:val="28"/>
          <w:rtl/>
        </w:rPr>
      </w:pPr>
      <w:r>
        <w:rPr>
          <w:rFonts w:ascii="Traditional Arabic" w:hAnsi="Traditional Arabic" w:cs="Abz-2 (Badr)" w:hint="cs"/>
          <w:color w:val="000000" w:themeColor="text1"/>
          <w:sz w:val="28"/>
          <w:szCs w:val="28"/>
          <w:rtl/>
          <w:lang w:bidi="fa-IR"/>
        </w:rPr>
        <w:t>همان گونه که سابقاً گفتيم، بر اساس آيه شريفه 233 از سوره مبارکه بقره، مادامی که فرزند در مدت دو سال در حال شير خوردن از مادر خود است، رزق و کسوه مادر بر پدر واجب است و مقدار آن نيز به حسب متعارف و بر اساس قدرت مالی پدر تعيين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زيرا در آيه شريفه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C33D44">
        <w:rPr>
          <w:rFonts w:ascii="Traditional Arabic" w:hAnsi="Traditional Arabic" w:cs="QuranTaha" w:hint="cs"/>
          <w:color w:val="BF8F00" w:themeColor="accent4" w:themeShade="BF"/>
          <w:sz w:val="26"/>
          <w:szCs w:val="26"/>
          <w:rtl/>
          <w:lang w:bidi="fa-IR"/>
        </w:rPr>
        <w:t>«</w:t>
      </w:r>
      <w:r w:rsidRPr="00C33D44">
        <w:rPr>
          <w:rFonts w:ascii="Traditional Arabic" w:hAnsi="Traditional Arabic" w:cs="QuranTaha"/>
          <w:color w:val="BF8F00" w:themeColor="accent4" w:themeShade="BF"/>
          <w:sz w:val="26"/>
          <w:szCs w:val="26"/>
          <w:rtl/>
        </w:rPr>
        <w:t xml:space="preserve">وَعَلَى الْمَوْلُودِ لَهُ رِزْقُهُنَّ وَكِسْوَتُهُنَّ بِالْمَعْرُوفِ </w:t>
      </w:r>
      <w:r w:rsidRPr="00C33D44">
        <w:rPr>
          <w:rFonts w:ascii="Traditional Arabic" w:hAnsi="Traditional Arabic" w:cs="QuranTaha" w:hint="cs"/>
          <w:color w:val="BF8F00" w:themeColor="accent4" w:themeShade="BF"/>
          <w:sz w:val="26"/>
          <w:szCs w:val="26"/>
          <w:rtl/>
        </w:rPr>
        <w:t>لَا</w:t>
      </w:r>
      <w:r w:rsidRPr="00C33D44">
        <w:rPr>
          <w:rFonts w:ascii="Traditional Arabic" w:hAnsi="Traditional Arabic" w:cs="QuranTaha"/>
          <w:color w:val="BF8F00" w:themeColor="accent4" w:themeShade="BF"/>
          <w:sz w:val="26"/>
          <w:szCs w:val="26"/>
          <w:rtl/>
        </w:rPr>
        <w:t xml:space="preserve"> </w:t>
      </w:r>
      <w:r w:rsidRPr="00C33D44">
        <w:rPr>
          <w:rFonts w:ascii="Traditional Arabic" w:hAnsi="Traditional Arabic" w:cs="QuranTaha" w:hint="cs"/>
          <w:color w:val="BF8F00" w:themeColor="accent4" w:themeShade="BF"/>
          <w:sz w:val="26"/>
          <w:szCs w:val="26"/>
          <w:rtl/>
        </w:rPr>
        <w:t>تُكَلَّفُ</w:t>
      </w:r>
      <w:r w:rsidRPr="00C33D44">
        <w:rPr>
          <w:rFonts w:ascii="Traditional Arabic" w:hAnsi="Traditional Arabic" w:cs="QuranTaha"/>
          <w:color w:val="BF8F00" w:themeColor="accent4" w:themeShade="BF"/>
          <w:sz w:val="26"/>
          <w:szCs w:val="26"/>
          <w:rtl/>
        </w:rPr>
        <w:t xml:space="preserve"> </w:t>
      </w:r>
      <w:r w:rsidRPr="00C33D44">
        <w:rPr>
          <w:rFonts w:ascii="Traditional Arabic" w:hAnsi="Traditional Arabic" w:cs="QuranTaha" w:hint="cs"/>
          <w:color w:val="BF8F00" w:themeColor="accent4" w:themeShade="BF"/>
          <w:sz w:val="26"/>
          <w:szCs w:val="26"/>
          <w:rtl/>
        </w:rPr>
        <w:t>نَفْسٌ</w:t>
      </w:r>
      <w:r w:rsidRPr="00C33D44">
        <w:rPr>
          <w:rFonts w:ascii="Traditional Arabic" w:hAnsi="Traditional Arabic" w:cs="QuranTaha"/>
          <w:color w:val="BF8F00" w:themeColor="accent4" w:themeShade="BF"/>
          <w:sz w:val="26"/>
          <w:szCs w:val="26"/>
          <w:rtl/>
        </w:rPr>
        <w:t xml:space="preserve"> </w:t>
      </w:r>
      <w:r w:rsidRPr="00C33D44">
        <w:rPr>
          <w:rFonts w:ascii="Traditional Arabic" w:hAnsi="Traditional Arabic" w:cs="QuranTaha" w:hint="cs"/>
          <w:color w:val="BF8F00" w:themeColor="accent4" w:themeShade="BF"/>
          <w:sz w:val="26"/>
          <w:szCs w:val="26"/>
          <w:rtl/>
        </w:rPr>
        <w:t>إِلَّا</w:t>
      </w:r>
      <w:r w:rsidRPr="00C33D44">
        <w:rPr>
          <w:rFonts w:ascii="Traditional Arabic" w:hAnsi="Traditional Arabic" w:cs="QuranTaha"/>
          <w:color w:val="BF8F00" w:themeColor="accent4" w:themeShade="BF"/>
          <w:sz w:val="26"/>
          <w:szCs w:val="26"/>
          <w:rtl/>
        </w:rPr>
        <w:t xml:space="preserve"> </w:t>
      </w:r>
      <w:r w:rsidRPr="00C33D44">
        <w:rPr>
          <w:rFonts w:ascii="Traditional Arabic" w:hAnsi="Traditional Arabic" w:cs="QuranTaha" w:hint="cs"/>
          <w:color w:val="BF8F00" w:themeColor="accent4" w:themeShade="BF"/>
          <w:sz w:val="26"/>
          <w:szCs w:val="26"/>
          <w:rtl/>
        </w:rPr>
        <w:t>وُسْعَهَا»</w:t>
      </w:r>
      <w:r w:rsidRPr="00C33D44">
        <w:rPr>
          <w:rFonts w:ascii="Traditional Arabic" w:hAnsi="Traditional Arabic" w:cs="Abz-2 (Badr)" w:hint="cs"/>
          <w:color w:val="000000" w:themeColor="text1"/>
          <w:sz w:val="28"/>
          <w:szCs w:val="28"/>
          <w:rtl/>
        </w:rPr>
        <w:t>.</w:t>
      </w:r>
    </w:p>
    <w:p w14:paraId="27DF9C8E" w14:textId="0BE5BA87" w:rsidR="00C33D44" w:rsidRDefault="00C33D44" w:rsidP="000E4FA5">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rPr>
        <w:t xml:space="preserve">البته </w:t>
      </w:r>
      <w:r>
        <w:rPr>
          <w:rFonts w:ascii="Traditional Arabic" w:hAnsi="Traditional Arabic" w:cs="Abz-2 (Badr)" w:hint="cs"/>
          <w:color w:val="000000" w:themeColor="text1"/>
          <w:sz w:val="28"/>
          <w:szCs w:val="28"/>
          <w:rtl/>
          <w:lang w:bidi="fa-IR"/>
        </w:rPr>
        <w:t>بسياری از مفسرين و نيز فقهاء، وجوب رزق و کسوه بر پدر را از باب اجرت رضاع دانسته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اند که گفتيم مدعای صحيحی نيست.</w:t>
      </w:r>
    </w:p>
    <w:p w14:paraId="629A4F42" w14:textId="7908297A" w:rsidR="00C33D44" w:rsidRDefault="00C33D44" w:rsidP="000E4FA5">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برخی نيز گفته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اند: اين مطلب مربوط به زنان مطلقه است، چون زن ذات بعل از حيث زوجيت دارای نفقه است و ايجاب دوباره نفقه برای وی از حيث ارضاع وجهی ندارد.</w:t>
      </w:r>
    </w:p>
    <w:p w14:paraId="7574F211" w14:textId="77777777" w:rsidR="001522D5" w:rsidRPr="001522D5" w:rsidRDefault="001522D5" w:rsidP="000E4FA5">
      <w:pPr>
        <w:widowControl w:val="0"/>
        <w:bidi/>
        <w:spacing w:after="0" w:line="262" w:lineRule="auto"/>
        <w:ind w:firstLine="284"/>
        <w:jc w:val="both"/>
        <w:rPr>
          <w:rFonts w:ascii="Traditional Arabic" w:hAnsi="Traditional Arabic" w:cs="Abz-2 (Badr)"/>
          <w:color w:val="0070C0"/>
          <w:sz w:val="28"/>
          <w:szCs w:val="28"/>
          <w:rtl/>
          <w:lang w:bidi="fa-IR"/>
        </w:rPr>
      </w:pPr>
      <w:r>
        <w:rPr>
          <w:rFonts w:ascii="Traditional Arabic" w:hAnsi="Traditional Arabic" w:cs="Abz-2 (Badr)" w:hint="cs"/>
          <w:color w:val="000000" w:themeColor="text1"/>
          <w:sz w:val="28"/>
          <w:szCs w:val="28"/>
          <w:rtl/>
          <w:lang w:bidi="fa-IR"/>
        </w:rPr>
        <w:t>طبرسی در تفسير آيه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1522D5">
        <w:rPr>
          <w:rFonts w:ascii="Traditional Arabic" w:hAnsi="Traditional Arabic" w:cs="Abz-2 (Badr)" w:hint="cs"/>
          <w:color w:val="0070C0"/>
          <w:sz w:val="28"/>
          <w:szCs w:val="28"/>
          <w:rtl/>
          <w:lang w:bidi="fa-IR"/>
        </w:rPr>
        <w:t>«المراد رزق الأُمّ وکسوتها مادامت في الرضاعة اللازمة وذلك في المطلقة، عن الثوري والضحّاك وأكثر المفسّرين... ولم يرد به نفقة الزوجات لأنّه قابلها بالإرضاع ونفقة الزوجة لا تجب بسبب الإرضاع وإنّما تجب بسبب الزوجيّة.</w:t>
      </w:r>
    </w:p>
    <w:p w14:paraId="21D66884" w14:textId="3E4B9163" w:rsidR="001522D5" w:rsidRDefault="001522D5" w:rsidP="000E4FA5">
      <w:pPr>
        <w:widowControl w:val="0"/>
        <w:bidi/>
        <w:spacing w:after="0" w:line="262" w:lineRule="auto"/>
        <w:ind w:firstLine="284"/>
        <w:jc w:val="both"/>
        <w:rPr>
          <w:rFonts w:ascii="Traditional Arabic" w:hAnsi="Traditional Arabic" w:cs="Abz-2 (Badr)"/>
          <w:color w:val="0070C0"/>
          <w:sz w:val="28"/>
          <w:szCs w:val="28"/>
          <w:rtl/>
          <w:lang w:bidi="fa-IR"/>
        </w:rPr>
      </w:pPr>
      <w:r w:rsidRPr="001522D5">
        <w:rPr>
          <w:rFonts w:ascii="Traditional Arabic" w:hAnsi="Traditional Arabic" w:cs="Abz-2 (Badr)" w:hint="cs"/>
          <w:color w:val="0070C0"/>
          <w:sz w:val="28"/>
          <w:szCs w:val="28"/>
          <w:rtl/>
          <w:lang w:bidi="fa-IR"/>
        </w:rPr>
        <w:t>وقال بعضهم: أراد به نفقة الزوجات.»</w:t>
      </w:r>
      <w:r>
        <w:rPr>
          <w:rStyle w:val="FootnoteReference"/>
          <w:rFonts w:ascii="Traditional Arabic" w:hAnsi="Traditional Arabic" w:cs="Abz-2 (Badr)"/>
          <w:color w:val="0070C0"/>
          <w:sz w:val="28"/>
          <w:szCs w:val="28"/>
          <w:rtl/>
          <w:lang w:bidi="fa-IR"/>
        </w:rPr>
        <w:footnoteReference w:id="1"/>
      </w:r>
    </w:p>
    <w:p w14:paraId="6F7140B7" w14:textId="518D432A" w:rsidR="001522D5" w:rsidRDefault="001522D5" w:rsidP="000E4FA5">
      <w:pPr>
        <w:widowControl w:val="0"/>
        <w:bidi/>
        <w:spacing w:after="0" w:line="262" w:lineRule="auto"/>
        <w:ind w:firstLine="284"/>
        <w:jc w:val="both"/>
        <w:rPr>
          <w:rFonts w:ascii="Traditional Arabic" w:hAnsi="Traditional Arabic" w:cs="Abz-2 (Badr)"/>
          <w:color w:val="000000" w:themeColor="text1"/>
          <w:sz w:val="28"/>
          <w:szCs w:val="28"/>
          <w:rtl/>
          <w:lang w:bidi="fa-IR"/>
        </w:rPr>
      </w:pPr>
      <w:r w:rsidRPr="001522D5">
        <w:rPr>
          <w:rFonts w:ascii="Traditional Arabic" w:hAnsi="Traditional Arabic" w:cs="Abz-2 (Badr)" w:hint="cs"/>
          <w:color w:val="000000" w:themeColor="text1"/>
          <w:sz w:val="28"/>
          <w:szCs w:val="28"/>
          <w:rtl/>
          <w:lang w:bidi="fa-IR"/>
        </w:rPr>
        <w:t xml:space="preserve">اما همان گونه که در ابتدای بحث از فخر رازی گذشت، استبعادی ندارد که </w:t>
      </w:r>
      <w:r>
        <w:rPr>
          <w:rFonts w:ascii="Traditional Arabic" w:hAnsi="Traditional Arabic" w:cs="Abz-2 (Badr)" w:hint="cs"/>
          <w:color w:val="000000" w:themeColor="text1"/>
          <w:sz w:val="28"/>
          <w:szCs w:val="28"/>
          <w:rtl/>
          <w:lang w:bidi="fa-IR"/>
        </w:rPr>
        <w:t>نفقه از دو جهت بر زوج واجب شود، از حيث زوجيت و از حيث ارضاع فرزند وی توسط مادرش که همسر زوج است</w:t>
      </w:r>
      <w:r w:rsidR="007C31BE">
        <w:rPr>
          <w:rFonts w:ascii="Traditional Arabic" w:hAnsi="Traditional Arabic" w:cs="Abz-2 (Badr)" w:hint="cs"/>
          <w:color w:val="000000" w:themeColor="text1"/>
          <w:sz w:val="28"/>
          <w:szCs w:val="28"/>
          <w:rtl/>
          <w:lang w:bidi="fa-IR"/>
        </w:rPr>
        <w:t>، فايده آن نيز اين خواهد بود که اگر از يک جهت وجوب ساقط شود ـ مثل اين که زوجه ناشزه شده و نفقه او از حيث زوجيت ساقط گردد ـ می</w:t>
      </w:r>
      <w:r w:rsidR="007C31BE">
        <w:rPr>
          <w:rFonts w:ascii="Traditional Arabic" w:hAnsi="Traditional Arabic" w:cs="Abz-2 (Badr)"/>
          <w:color w:val="000000" w:themeColor="text1"/>
          <w:sz w:val="28"/>
          <w:szCs w:val="28"/>
          <w:rtl/>
          <w:lang w:bidi="fa-IR"/>
        </w:rPr>
        <w:softHyphen/>
      </w:r>
      <w:r w:rsidR="007C31BE">
        <w:rPr>
          <w:rFonts w:ascii="Traditional Arabic" w:hAnsi="Traditional Arabic" w:cs="Abz-2 (Badr)" w:hint="cs"/>
          <w:color w:val="000000" w:themeColor="text1"/>
          <w:sz w:val="28"/>
          <w:szCs w:val="28"/>
          <w:rtl/>
          <w:lang w:bidi="fa-IR"/>
        </w:rPr>
        <w:t>تواند از جهت ديگر باقی بماند</w:t>
      </w:r>
      <w:r>
        <w:rPr>
          <w:rFonts w:ascii="Traditional Arabic" w:hAnsi="Traditional Arabic" w:cs="Abz-2 (Badr)" w:hint="cs"/>
          <w:color w:val="000000" w:themeColor="text1"/>
          <w:sz w:val="28"/>
          <w:szCs w:val="28"/>
          <w:rtl/>
          <w:lang w:bidi="fa-IR"/>
        </w:rPr>
        <w:t>. بنا</w:t>
      </w:r>
      <w:r w:rsidR="00183115">
        <w:rPr>
          <w:rFonts w:ascii="Traditional Arabic" w:hAnsi="Traditional Arabic" w:cs="Abz-2 (Badr)" w:hint="cs"/>
          <w:color w:val="000000" w:themeColor="text1"/>
          <w:sz w:val="28"/>
          <w:szCs w:val="28"/>
          <w:rtl/>
          <w:lang w:bidi="fa-IR"/>
        </w:rPr>
        <w:t>ب</w:t>
      </w:r>
      <w:r>
        <w:rPr>
          <w:rFonts w:ascii="Traditional Arabic" w:hAnsi="Traditional Arabic" w:cs="Abz-2 (Badr)" w:hint="cs"/>
          <w:color w:val="000000" w:themeColor="text1"/>
          <w:sz w:val="28"/>
          <w:szCs w:val="28"/>
          <w:rtl/>
          <w:lang w:bidi="fa-IR"/>
        </w:rPr>
        <w:t>ر اين با توجه به ادله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ای که سابقاً گذشت و بر اساس آن گفتيم که اين آيه شريفه اطلاق داشته </w:t>
      </w:r>
      <w:r>
        <w:rPr>
          <w:rFonts w:ascii="Traditional Arabic" w:hAnsi="Traditional Arabic" w:cs="Abz-2 (Badr)" w:hint="cs"/>
          <w:color w:val="000000" w:themeColor="text1"/>
          <w:sz w:val="28"/>
          <w:szCs w:val="28"/>
          <w:rtl/>
          <w:lang w:bidi="fa-IR"/>
        </w:rPr>
        <w:lastRenderedPageBreak/>
        <w:t>و اختصاص به زنان مطلقه ندارد،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بر اساس استدلال مذکور در کلمات مفسرين که طبرسی آن را نقل کرده است، دست از مدعای سابق برداشت و وجوب رزق و کسوه را از باب وجوب اجرت در خصوص زوجه مطلقه دانست.</w:t>
      </w:r>
    </w:p>
    <w:p w14:paraId="070E8BEA" w14:textId="26947B11" w:rsidR="001522D5" w:rsidRDefault="001522D5" w:rsidP="000E4FA5">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 علاوه بر اين که ذکر قيد: </w:t>
      </w:r>
      <w:r w:rsidRPr="001522D5">
        <w:rPr>
          <w:rFonts w:ascii="Traditional Arabic" w:hAnsi="Traditional Arabic" w:cs="QuranTaha" w:hint="cs"/>
          <w:color w:val="BF8F00" w:themeColor="accent4" w:themeShade="BF"/>
          <w:sz w:val="26"/>
          <w:szCs w:val="26"/>
          <w:rtl/>
        </w:rPr>
        <w:t>«</w:t>
      </w:r>
      <w:r w:rsidRPr="00C33D44">
        <w:rPr>
          <w:rFonts w:ascii="Traditional Arabic" w:hAnsi="Traditional Arabic" w:cs="QuranTaha"/>
          <w:color w:val="BF8F00" w:themeColor="accent4" w:themeShade="BF"/>
          <w:sz w:val="26"/>
          <w:szCs w:val="26"/>
          <w:rtl/>
        </w:rPr>
        <w:t>بِالْمَعْرُوفِ</w:t>
      </w:r>
      <w:r>
        <w:rPr>
          <w:rFonts w:ascii="Traditional Arabic" w:hAnsi="Traditional Arabic" w:cs="QuranTaha" w:hint="cs"/>
          <w:color w:val="BF8F00" w:themeColor="accent4" w:themeShade="BF"/>
          <w:sz w:val="26"/>
          <w:szCs w:val="26"/>
          <w:rtl/>
        </w:rPr>
        <w:t xml:space="preserve">» </w:t>
      </w:r>
      <w:r w:rsidRPr="001522D5">
        <w:rPr>
          <w:rFonts w:ascii="Traditional Arabic" w:hAnsi="Traditional Arabic" w:cs="Abz-2 (Badr)" w:hint="cs"/>
          <w:color w:val="000000" w:themeColor="text1"/>
          <w:sz w:val="28"/>
          <w:szCs w:val="28"/>
          <w:rtl/>
          <w:lang w:bidi="fa-IR"/>
        </w:rPr>
        <w:t>قرينه</w:t>
      </w:r>
      <w:r w:rsidRPr="001522D5">
        <w:rPr>
          <w:rFonts w:ascii="Traditional Arabic" w:hAnsi="Traditional Arabic" w:cs="Abz-2 (Badr)"/>
          <w:color w:val="000000" w:themeColor="text1"/>
          <w:sz w:val="28"/>
          <w:szCs w:val="28"/>
          <w:rtl/>
          <w:lang w:bidi="fa-IR"/>
        </w:rPr>
        <w:softHyphen/>
      </w:r>
      <w:r w:rsidRPr="001522D5">
        <w:rPr>
          <w:rFonts w:ascii="Traditional Arabic" w:hAnsi="Traditional Arabic" w:cs="Abz-2 (Badr)" w:hint="cs"/>
          <w:color w:val="000000" w:themeColor="text1"/>
          <w:sz w:val="28"/>
          <w:szCs w:val="28"/>
          <w:rtl/>
          <w:lang w:bidi="fa-IR"/>
        </w:rPr>
        <w:t xml:space="preserve">ای برای اين مطلب است که </w:t>
      </w:r>
      <w:r>
        <w:rPr>
          <w:rFonts w:ascii="Traditional Arabic" w:hAnsi="Traditional Arabic" w:cs="Abz-2 (Badr)" w:hint="cs"/>
          <w:color w:val="000000" w:themeColor="text1"/>
          <w:sz w:val="28"/>
          <w:szCs w:val="28"/>
          <w:rtl/>
          <w:lang w:bidi="fa-IR"/>
        </w:rPr>
        <w:t>مراد از آنچه که در آيه آمده است، نفقه مادر مرضعه است، نه اجرت وی، چون در تعيين اجرت متعارف بودن آن ضرورتی ندارد و بستگی به توافق طرفين دارد.</w:t>
      </w:r>
    </w:p>
    <w:p w14:paraId="6F915F41" w14:textId="4D32B0FB" w:rsidR="001A7A94" w:rsidRDefault="000E4FA5" w:rsidP="007C31BE">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مؤيد اين مطلب نيز آيه ششم سوره مبارکه طلاق است که در آن آمده است: </w:t>
      </w:r>
      <w:r w:rsidRPr="00E64A4A">
        <w:rPr>
          <w:rFonts w:ascii="Traditional Arabic" w:hAnsi="Traditional Arabic" w:cs="QuranTaha" w:hint="cs"/>
          <w:color w:val="BF8F00" w:themeColor="accent4" w:themeShade="BF"/>
          <w:sz w:val="26"/>
          <w:szCs w:val="26"/>
          <w:rtl/>
        </w:rPr>
        <w:t>«</w:t>
      </w:r>
      <w:r w:rsidRPr="00E64A4A">
        <w:rPr>
          <w:rFonts w:ascii="Traditional Arabic" w:hAnsi="Traditional Arabic" w:cs="QuranTaha"/>
          <w:color w:val="BF8F00" w:themeColor="accent4" w:themeShade="BF"/>
          <w:sz w:val="26"/>
          <w:szCs w:val="26"/>
          <w:rtl/>
        </w:rPr>
        <w:t>وَإِنْ كُنَّ أُولَاتِ حَمْلٍ فَأَنْفِقُوا عَلَيْهِنَّ حَتَّىٰ يَضَعْنَ حَمْلَهُنَّ</w:t>
      </w:r>
      <w:r w:rsidRPr="000E4FA5">
        <w:rPr>
          <w:rFonts w:ascii="Traditional Arabic" w:hAnsi="Traditional Arabic" w:cs="QuranTaha" w:hint="cs"/>
          <w:color w:val="BF8F00" w:themeColor="accent4" w:themeShade="BF"/>
          <w:sz w:val="26"/>
          <w:szCs w:val="26"/>
          <w:rtl/>
        </w:rPr>
        <w:t>»</w:t>
      </w:r>
      <w:r>
        <w:rPr>
          <w:rFonts w:ascii="Traditional Arabic" w:hAnsi="Traditional Arabic" w:cs="QuranTaha" w:hint="cs"/>
          <w:color w:val="BF8F00" w:themeColor="accent4" w:themeShade="BF"/>
          <w:sz w:val="26"/>
          <w:szCs w:val="26"/>
          <w:rtl/>
        </w:rPr>
        <w:t xml:space="preserve"> </w:t>
      </w:r>
      <w:r w:rsidRPr="000E4FA5">
        <w:rPr>
          <w:rFonts w:ascii="Traditional Arabic" w:hAnsi="Traditional Arabic" w:cs="Abz-2 (Badr)" w:hint="cs"/>
          <w:color w:val="000000" w:themeColor="text1"/>
          <w:sz w:val="28"/>
          <w:szCs w:val="28"/>
          <w:rtl/>
          <w:lang w:bidi="fa-IR"/>
        </w:rPr>
        <w:t xml:space="preserve">که بر </w:t>
      </w:r>
      <w:r>
        <w:rPr>
          <w:rFonts w:ascii="Traditional Arabic" w:hAnsi="Traditional Arabic" w:cs="Abz-2 (Badr)" w:hint="cs"/>
          <w:color w:val="000000" w:themeColor="text1"/>
          <w:sz w:val="28"/>
          <w:szCs w:val="28"/>
          <w:rtl/>
          <w:lang w:bidi="fa-IR"/>
        </w:rPr>
        <w:t>ا</w:t>
      </w:r>
      <w:r w:rsidRPr="000E4FA5">
        <w:rPr>
          <w:rFonts w:ascii="Traditional Arabic" w:hAnsi="Traditional Arabic" w:cs="Abz-2 (Badr)" w:hint="cs"/>
          <w:color w:val="000000" w:themeColor="text1"/>
          <w:sz w:val="28"/>
          <w:szCs w:val="28"/>
          <w:rtl/>
          <w:lang w:bidi="fa-IR"/>
        </w:rPr>
        <w:t>ساس آن،</w:t>
      </w:r>
      <w:r>
        <w:rPr>
          <w:rFonts w:ascii="Traditional Arabic" w:hAnsi="Traditional Arabic" w:cs="Abz-2 (Badr)" w:hint="cs"/>
          <w:color w:val="000000" w:themeColor="text1"/>
          <w:sz w:val="28"/>
          <w:szCs w:val="28"/>
          <w:rtl/>
          <w:lang w:bidi="fa-IR"/>
        </w:rPr>
        <w:t xml:space="preserve"> زن حامل مطلقه تا هنگام وضع حمل مطلقاً مستحق نفقه است، چه طلاق بائن باشد و چه رجعی، در حالی که مطلقه رجعيه از باب استمرار زوجيت تا اتمام عده و يا استمرار احکام زوجيت، استحقاق نفقه را داراست. بنابر اين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گفت که مطلقه رجعيه حامل از دو جهت تا حين وضع حمل، مستحق نفقه است، از جهت زوجيت و از جهت حامل بودن.</w:t>
      </w:r>
    </w:p>
    <w:p w14:paraId="18E6511E" w14:textId="752C8883" w:rsidR="007C31BE" w:rsidRDefault="007C31BE" w:rsidP="007C31BE">
      <w:pPr>
        <w:widowControl w:val="0"/>
        <w:bidi/>
        <w:spacing w:after="0" w:line="262" w:lineRule="auto"/>
        <w:ind w:firstLine="284"/>
        <w:jc w:val="both"/>
        <w:rPr>
          <w:rFonts w:ascii="Traditional Arabic" w:hAnsi="Traditional Arabic" w:cs="Abz-2 (Badr)"/>
          <w:color w:val="000000" w:themeColor="text1"/>
          <w:sz w:val="28"/>
          <w:szCs w:val="28"/>
          <w:lang w:bidi="fa-IR"/>
        </w:rPr>
      </w:pPr>
      <w:r>
        <w:rPr>
          <w:rFonts w:ascii="Traditional Arabic" w:hAnsi="Traditional Arabic" w:cs="Abz-2 (Badr)" w:hint="cs"/>
          <w:color w:val="000000" w:themeColor="text1"/>
          <w:sz w:val="28"/>
          <w:szCs w:val="28"/>
          <w:rtl/>
          <w:lang w:bidi="fa-IR"/>
        </w:rPr>
        <w:t>البته بايد دقت داشت که آنچه که از آيه شريفه استفاده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وجوب خصوص رزق و کسوه است که جزئی از نفقه است، در حالی که نفقه شامل موارد ديگری بجز اين دو مورد نيز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w:t>
      </w:r>
    </w:p>
    <w:p w14:paraId="544491C8" w14:textId="451BA5B8" w:rsidR="007C31BE" w:rsidRDefault="007C31BE" w:rsidP="007C31BE">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ادامه بحث را جلسه آينده پی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گيريم ان شاء الله.</w:t>
      </w:r>
    </w:p>
    <w:p w14:paraId="5884D118" w14:textId="77777777" w:rsidR="000E4FA5" w:rsidRPr="00104618" w:rsidRDefault="000E4FA5" w:rsidP="000E4FA5">
      <w:pPr>
        <w:widowControl w:val="0"/>
        <w:bidi/>
        <w:spacing w:after="0" w:line="254" w:lineRule="auto"/>
        <w:ind w:firstLine="284"/>
        <w:jc w:val="both"/>
        <w:rPr>
          <w:rFonts w:ascii="Traditional Arabic" w:hAnsi="Traditional Arabic" w:cs="Abz-2 (Badr)"/>
          <w:color w:val="000000" w:themeColor="text1"/>
          <w:sz w:val="28"/>
          <w:szCs w:val="28"/>
          <w:rtl/>
          <w:lang w:bidi="fa-IR"/>
        </w:rPr>
      </w:pPr>
    </w:p>
    <w:sectPr w:rsidR="000E4FA5" w:rsidRPr="00104618" w:rsidSect="003828B6">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23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DBBEB" w14:textId="77777777" w:rsidR="008C28A1" w:rsidRDefault="008C28A1" w:rsidP="00F71127">
      <w:pPr>
        <w:spacing w:after="0" w:line="240" w:lineRule="auto"/>
      </w:pPr>
      <w:r>
        <w:separator/>
      </w:r>
    </w:p>
  </w:endnote>
  <w:endnote w:type="continuationSeparator" w:id="0">
    <w:p w14:paraId="4BFCB66C" w14:textId="77777777" w:rsidR="008C28A1" w:rsidRDefault="008C28A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2904C" w14:textId="77777777" w:rsidR="003828B6" w:rsidRDefault="003828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0F52A" w14:textId="77777777" w:rsidR="003828B6" w:rsidRDefault="003828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18FB6" w14:textId="77777777" w:rsidR="008C28A1" w:rsidRDefault="008C28A1" w:rsidP="00EE25C0">
      <w:pPr>
        <w:bidi/>
        <w:spacing w:after="0" w:line="240" w:lineRule="auto"/>
      </w:pPr>
      <w:r>
        <w:separator/>
      </w:r>
    </w:p>
  </w:footnote>
  <w:footnote w:type="continuationSeparator" w:id="0">
    <w:p w14:paraId="54122C99" w14:textId="77777777" w:rsidR="008C28A1" w:rsidRDefault="008C28A1" w:rsidP="00F71127">
      <w:pPr>
        <w:bidi/>
        <w:spacing w:after="0" w:line="240" w:lineRule="auto"/>
      </w:pPr>
      <w:r>
        <w:continuationSeparator/>
      </w:r>
    </w:p>
  </w:footnote>
  <w:footnote w:id="1">
    <w:p w14:paraId="58386513" w14:textId="4F28D555" w:rsidR="001522D5" w:rsidRPr="001522D5" w:rsidRDefault="001522D5" w:rsidP="001522D5">
      <w:pPr>
        <w:pStyle w:val="FootnoteText"/>
        <w:bidi/>
        <w:rPr>
          <w:rFonts w:cs="Abz-2 (Badr)"/>
          <w:rtl/>
          <w:lang w:bidi="fa-IR"/>
        </w:rPr>
      </w:pPr>
      <w:r w:rsidRPr="001522D5">
        <w:rPr>
          <w:rStyle w:val="FootnoteReference"/>
          <w:rFonts w:cs="Abz-2 (Badr)"/>
          <w:vertAlign w:val="baseline"/>
        </w:rPr>
        <w:footnoteRef/>
      </w:r>
      <w:r w:rsidRPr="001522D5">
        <w:rPr>
          <w:rFonts w:cs="Abz-2 (Badr)"/>
        </w:rPr>
        <w:t xml:space="preserve"> </w:t>
      </w:r>
      <w:r>
        <w:rPr>
          <w:rFonts w:cs="Abz-2 (Badr)" w:hint="cs"/>
          <w:rtl/>
        </w:rPr>
        <w:t>ـ مجمع البيان،ج2،ص587.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EE8DC" w14:textId="77777777" w:rsidR="003828B6" w:rsidRDefault="003828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E60C0" w14:textId="6AA54282" w:rsidR="003828B6" w:rsidRDefault="003828B6">
    <w:pPr>
      <w:pStyle w:val="Header"/>
    </w:pPr>
    <w:r>
      <w:rPr>
        <w:noProof/>
      </w:rPr>
      <mc:AlternateContent>
        <mc:Choice Requires="wps">
          <w:drawing>
            <wp:anchor distT="45720" distB="45720" distL="114300" distR="114300" simplePos="0" relativeHeight="251661312" behindDoc="0" locked="0" layoutInCell="1" allowOverlap="1" wp14:anchorId="60F5555C" wp14:editId="3EB9BEFE">
              <wp:simplePos x="0" y="0"/>
              <wp:positionH relativeFrom="column">
                <wp:posOffset>2215563</wp:posOffset>
              </wp:positionH>
              <wp:positionV relativeFrom="paragraph">
                <wp:posOffset>231873</wp:posOffset>
              </wp:positionV>
              <wp:extent cx="4189095" cy="1631315"/>
              <wp:effectExtent l="0" t="0" r="1905" b="69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9095" cy="1631315"/>
                      </a:xfrm>
                      <a:prstGeom prst="rect">
                        <a:avLst/>
                      </a:prstGeom>
                      <a:solidFill>
                        <a:srgbClr val="FFFFFF"/>
                      </a:solidFill>
                      <a:ln w="9525">
                        <a:noFill/>
                        <a:miter lim="800000"/>
                        <a:headEnd/>
                        <a:tailEnd/>
                      </a:ln>
                    </wps:spPr>
                    <wps:txbx>
                      <w:txbxContent>
                        <w:p w14:paraId="671F0DE7" w14:textId="175CBD78" w:rsidR="003828B6" w:rsidRDefault="003828B6" w:rsidP="003828B6">
                          <w:pPr>
                            <w:bidi/>
                            <w:rPr>
                              <w:rFonts w:cs="B Mehr"/>
                            </w:rPr>
                          </w:pPr>
                          <w:r>
                            <w:rPr>
                              <w:rFonts w:cs="B Mehr" w:hint="cs"/>
                              <w:rtl/>
                            </w:rPr>
                            <w:t>تقریر درس خارج فقه،  استاد حاج سید علی موسوی اردبیلی</w:t>
                          </w:r>
                          <w:r>
                            <w:rPr>
                              <w:rFonts w:cs="B Mehr" w:hint="cs"/>
                            </w:rPr>
                            <w:t xml:space="preserve"> </w:t>
                          </w:r>
                        </w:p>
                        <w:p w14:paraId="2D65571F" w14:textId="77777777" w:rsidR="003828B6" w:rsidRDefault="003828B6" w:rsidP="003828B6">
                          <w:pPr>
                            <w:jc w:val="right"/>
                            <w:rPr>
                              <w:rFonts w:cs="B Mehr"/>
                            </w:rPr>
                          </w:pPr>
                          <w:r>
                            <w:rPr>
                              <w:rFonts w:cs="B Mehr" w:hint="cs"/>
                              <w:rtl/>
                            </w:rPr>
                            <w:t>مبحث:  نکاح - احکام  اولاد</w:t>
                          </w:r>
                        </w:p>
                        <w:p w14:paraId="23CC11F0" w14:textId="2E478DA0" w:rsidR="003828B6" w:rsidRDefault="003828B6" w:rsidP="003828B6">
                          <w:pPr>
                            <w:bidi/>
                          </w:pPr>
                          <w:r>
                            <w:rPr>
                              <w:rFonts w:cs="B Mehr" w:hint="cs"/>
                              <w:rtl/>
                            </w:rPr>
                            <w:t xml:space="preserve">تاریخ: </w:t>
                          </w:r>
                          <w:r>
                            <w:rPr>
                              <w:rFonts w:cs="B Mehr" w:hint="cs"/>
                              <w:lang w:bidi="fa-IR"/>
                            </w:rPr>
                            <w:t xml:space="preserve"> </w:t>
                          </w:r>
                          <w:r>
                            <w:rPr>
                              <w:rFonts w:cs="B Mehr" w:hint="cs"/>
                              <w:rtl/>
                              <w:lang w:bidi="fa-IR"/>
                            </w:rPr>
                            <w:t xml:space="preserve">     </w:t>
                          </w:r>
                          <w:r>
                            <w:rPr>
                              <w:rFonts w:cs="B Mehr" w:hint="cs"/>
                              <w:rtl/>
                              <w:lang w:bidi="fa-IR"/>
                            </w:rPr>
                            <w:t>چهار</w:t>
                          </w:r>
                          <w:r>
                            <w:rPr>
                              <w:rFonts w:cs="B Mehr" w:hint="cs"/>
                              <w:rtl/>
                              <w:lang w:bidi="fa-IR"/>
                            </w:rPr>
                            <w:t xml:space="preserve">  شنبه </w:t>
                          </w:r>
                          <w:r>
                            <w:rPr>
                              <w:rFonts w:cs="B Mehr" w:hint="cs"/>
                              <w:rtl/>
                            </w:rPr>
                            <w:t xml:space="preserve">،   </w:t>
                          </w:r>
                          <w:r>
                            <w:rPr>
                              <w:rFonts w:cs="B Mehr" w:hint="cs"/>
                              <w:rtl/>
                            </w:rPr>
                            <w:t>24</w:t>
                          </w:r>
                          <w:r>
                            <w:rPr>
                              <w:rFonts w:cs="B Mehr" w:hint="cs"/>
                              <w:rtl/>
                            </w:rPr>
                            <w:t xml:space="preserve">      بهمن   ماه - 1403ه.ش</w:t>
                          </w:r>
                        </w:p>
                        <w:p w14:paraId="66D8D736" w14:textId="77777777" w:rsidR="003828B6" w:rsidRDefault="003828B6" w:rsidP="003828B6"/>
                        <w:p w14:paraId="27C52735" w14:textId="77777777" w:rsidR="003828B6" w:rsidRDefault="003828B6" w:rsidP="003828B6"/>
                        <w:p w14:paraId="517DE801" w14:textId="77777777" w:rsidR="003828B6" w:rsidRDefault="003828B6" w:rsidP="003828B6"/>
                        <w:p w14:paraId="663A60B4" w14:textId="77777777" w:rsidR="003828B6" w:rsidRDefault="003828B6" w:rsidP="003828B6"/>
                        <w:p w14:paraId="637C42F4" w14:textId="51647EAE" w:rsidR="003828B6" w:rsidRDefault="003828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F5555C" id="_x0000_t202" coordsize="21600,21600" o:spt="202" path="m,l,21600r21600,l21600,xe">
              <v:stroke joinstyle="miter"/>
              <v:path gradientshapeok="t" o:connecttype="rect"/>
            </v:shapetype>
            <v:shape id="Text Box 2" o:spid="_x0000_s1026" type="#_x0000_t202" style="position:absolute;margin-left:174.45pt;margin-top:18.25pt;width:329.85pt;height:128.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" stroked="f">
              <v:textbox>
                <w:txbxContent>
                  <w:p w14:paraId="671F0DE7" w14:textId="175CBD78" w:rsidR="003828B6" w:rsidRDefault="003828B6" w:rsidP="003828B6">
                    <w:pPr>
                      <w:bidi/>
                      <w:rPr>
                        <w:rFonts w:cs="B Mehr"/>
                      </w:rPr>
                    </w:pPr>
                    <w:r>
                      <w:rPr>
                        <w:rFonts w:cs="B Mehr" w:hint="cs"/>
                        <w:rtl/>
                      </w:rPr>
                      <w:t>تقریر درس خارج فقه،  استاد حاج سید علی موسوی اردبیلی</w:t>
                    </w:r>
                    <w:r>
                      <w:rPr>
                        <w:rFonts w:cs="B Mehr" w:hint="cs"/>
                      </w:rPr>
                      <w:t xml:space="preserve"> </w:t>
                    </w:r>
                  </w:p>
                  <w:p w14:paraId="2D65571F" w14:textId="77777777" w:rsidR="003828B6" w:rsidRDefault="003828B6" w:rsidP="003828B6">
                    <w:pPr>
                      <w:jc w:val="right"/>
                      <w:rPr>
                        <w:rFonts w:cs="B Mehr"/>
                      </w:rPr>
                    </w:pPr>
                    <w:r>
                      <w:rPr>
                        <w:rFonts w:cs="B Mehr" w:hint="cs"/>
                        <w:rtl/>
                      </w:rPr>
                      <w:t>مبحث:  نکاح - احکام  اولاد</w:t>
                    </w:r>
                  </w:p>
                  <w:p w14:paraId="23CC11F0" w14:textId="2E478DA0" w:rsidR="003828B6" w:rsidRDefault="003828B6" w:rsidP="003828B6">
                    <w:pPr>
                      <w:bidi/>
                    </w:pPr>
                    <w:r>
                      <w:rPr>
                        <w:rFonts w:cs="B Mehr" w:hint="cs"/>
                        <w:rtl/>
                      </w:rPr>
                      <w:t xml:space="preserve">تاریخ: </w:t>
                    </w:r>
                    <w:r>
                      <w:rPr>
                        <w:rFonts w:cs="B Mehr" w:hint="cs"/>
                        <w:lang w:bidi="fa-IR"/>
                      </w:rPr>
                      <w:t xml:space="preserve"> </w:t>
                    </w:r>
                    <w:r>
                      <w:rPr>
                        <w:rFonts w:cs="B Mehr" w:hint="cs"/>
                        <w:rtl/>
                        <w:lang w:bidi="fa-IR"/>
                      </w:rPr>
                      <w:t xml:space="preserve">     </w:t>
                    </w:r>
                    <w:r>
                      <w:rPr>
                        <w:rFonts w:cs="B Mehr" w:hint="cs"/>
                        <w:rtl/>
                        <w:lang w:bidi="fa-IR"/>
                      </w:rPr>
                      <w:t>چهار</w:t>
                    </w:r>
                    <w:r>
                      <w:rPr>
                        <w:rFonts w:cs="B Mehr" w:hint="cs"/>
                        <w:rtl/>
                        <w:lang w:bidi="fa-IR"/>
                      </w:rPr>
                      <w:t xml:space="preserve">  شنبه </w:t>
                    </w:r>
                    <w:r>
                      <w:rPr>
                        <w:rFonts w:cs="B Mehr" w:hint="cs"/>
                        <w:rtl/>
                      </w:rPr>
                      <w:t xml:space="preserve">،   </w:t>
                    </w:r>
                    <w:r>
                      <w:rPr>
                        <w:rFonts w:cs="B Mehr" w:hint="cs"/>
                        <w:rtl/>
                      </w:rPr>
                      <w:t>24</w:t>
                    </w:r>
                    <w:r>
                      <w:rPr>
                        <w:rFonts w:cs="B Mehr" w:hint="cs"/>
                        <w:rtl/>
                      </w:rPr>
                      <w:t xml:space="preserve">      بهمن   ماه - 1403ه.ش</w:t>
                    </w:r>
                  </w:p>
                  <w:p w14:paraId="66D8D736" w14:textId="77777777" w:rsidR="003828B6" w:rsidRDefault="003828B6" w:rsidP="003828B6"/>
                  <w:p w14:paraId="27C52735" w14:textId="77777777" w:rsidR="003828B6" w:rsidRDefault="003828B6" w:rsidP="003828B6"/>
                  <w:p w14:paraId="517DE801" w14:textId="77777777" w:rsidR="003828B6" w:rsidRDefault="003828B6" w:rsidP="003828B6"/>
                  <w:p w14:paraId="663A60B4" w14:textId="77777777" w:rsidR="003828B6" w:rsidRDefault="003828B6" w:rsidP="003828B6"/>
                  <w:p w14:paraId="637C42F4" w14:textId="51647EAE" w:rsidR="003828B6" w:rsidRDefault="003828B6"/>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A441FBB" wp14:editId="12820494">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7D794" w14:textId="77777777" w:rsidR="003828B6" w:rsidRDefault="003828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20FB"/>
    <w:rsid w:val="001421A6"/>
    <w:rsid w:val="00142696"/>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093"/>
    <w:rsid w:val="00195C21"/>
    <w:rsid w:val="00195E80"/>
    <w:rsid w:val="00196B6F"/>
    <w:rsid w:val="00196B8A"/>
    <w:rsid w:val="00196FFE"/>
    <w:rsid w:val="00197DDA"/>
    <w:rsid w:val="001A04BA"/>
    <w:rsid w:val="001A1180"/>
    <w:rsid w:val="001A139F"/>
    <w:rsid w:val="001A1B2F"/>
    <w:rsid w:val="001A1C65"/>
    <w:rsid w:val="001A2687"/>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543A"/>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4640"/>
    <w:rsid w:val="002855E6"/>
    <w:rsid w:val="00285CAC"/>
    <w:rsid w:val="00286217"/>
    <w:rsid w:val="0028623C"/>
    <w:rsid w:val="00286C1F"/>
    <w:rsid w:val="002871BA"/>
    <w:rsid w:val="0028724B"/>
    <w:rsid w:val="002876FA"/>
    <w:rsid w:val="00287860"/>
    <w:rsid w:val="002909E6"/>
    <w:rsid w:val="00290A5D"/>
    <w:rsid w:val="00291502"/>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3CC"/>
    <w:rsid w:val="002B7F7E"/>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8B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2FF5"/>
    <w:rsid w:val="004B3F7E"/>
    <w:rsid w:val="004B41A1"/>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D6"/>
    <w:rsid w:val="004C545D"/>
    <w:rsid w:val="004C5E0C"/>
    <w:rsid w:val="004C68CC"/>
    <w:rsid w:val="004C6CE6"/>
    <w:rsid w:val="004C7429"/>
    <w:rsid w:val="004D06C9"/>
    <w:rsid w:val="004D0F9E"/>
    <w:rsid w:val="004D1738"/>
    <w:rsid w:val="004D2019"/>
    <w:rsid w:val="004D2ED1"/>
    <w:rsid w:val="004D3D43"/>
    <w:rsid w:val="004D3EF3"/>
    <w:rsid w:val="004D6275"/>
    <w:rsid w:val="004D6B0B"/>
    <w:rsid w:val="004D6CFD"/>
    <w:rsid w:val="004D6EA3"/>
    <w:rsid w:val="004E01DE"/>
    <w:rsid w:val="004E0630"/>
    <w:rsid w:val="004E10EF"/>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1F"/>
    <w:rsid w:val="00556729"/>
    <w:rsid w:val="00556776"/>
    <w:rsid w:val="005568E8"/>
    <w:rsid w:val="00557416"/>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667B"/>
    <w:rsid w:val="005B6905"/>
    <w:rsid w:val="005B7A82"/>
    <w:rsid w:val="005C1591"/>
    <w:rsid w:val="005C2DC4"/>
    <w:rsid w:val="005C3A1D"/>
    <w:rsid w:val="005C577D"/>
    <w:rsid w:val="005C60D7"/>
    <w:rsid w:val="005C654C"/>
    <w:rsid w:val="005C6E90"/>
    <w:rsid w:val="005C7D5D"/>
    <w:rsid w:val="005C7DD3"/>
    <w:rsid w:val="005D0294"/>
    <w:rsid w:val="005D1A30"/>
    <w:rsid w:val="005D1C00"/>
    <w:rsid w:val="005D2D13"/>
    <w:rsid w:val="005D3E93"/>
    <w:rsid w:val="005D4071"/>
    <w:rsid w:val="005D432C"/>
    <w:rsid w:val="005D4482"/>
    <w:rsid w:val="005D4F3E"/>
    <w:rsid w:val="005D571F"/>
    <w:rsid w:val="005D6533"/>
    <w:rsid w:val="005D73CF"/>
    <w:rsid w:val="005E052A"/>
    <w:rsid w:val="005E06DE"/>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6CDE"/>
    <w:rsid w:val="00647CF9"/>
    <w:rsid w:val="00647D57"/>
    <w:rsid w:val="00647F91"/>
    <w:rsid w:val="00650174"/>
    <w:rsid w:val="00650CB7"/>
    <w:rsid w:val="00651775"/>
    <w:rsid w:val="00651DBF"/>
    <w:rsid w:val="00652E92"/>
    <w:rsid w:val="00652EA6"/>
    <w:rsid w:val="006537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6E2"/>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3F19"/>
    <w:rsid w:val="007641CF"/>
    <w:rsid w:val="00764E6D"/>
    <w:rsid w:val="007650EB"/>
    <w:rsid w:val="007665F3"/>
    <w:rsid w:val="00766E11"/>
    <w:rsid w:val="0076748F"/>
    <w:rsid w:val="00767B72"/>
    <w:rsid w:val="00767F00"/>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2DE7"/>
    <w:rsid w:val="007C31BE"/>
    <w:rsid w:val="007C3F32"/>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3A99"/>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B4"/>
    <w:rsid w:val="00887D43"/>
    <w:rsid w:val="00887D45"/>
    <w:rsid w:val="0089052F"/>
    <w:rsid w:val="00890620"/>
    <w:rsid w:val="00890818"/>
    <w:rsid w:val="00890F0F"/>
    <w:rsid w:val="00891079"/>
    <w:rsid w:val="0089129C"/>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8A1"/>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F27"/>
    <w:rsid w:val="008D1F4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D0B"/>
    <w:rsid w:val="00963451"/>
    <w:rsid w:val="00964909"/>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02DD"/>
    <w:rsid w:val="00981C3B"/>
    <w:rsid w:val="009822C8"/>
    <w:rsid w:val="00984C89"/>
    <w:rsid w:val="00986056"/>
    <w:rsid w:val="00987056"/>
    <w:rsid w:val="0098763E"/>
    <w:rsid w:val="00987CED"/>
    <w:rsid w:val="00987DBD"/>
    <w:rsid w:val="00990129"/>
    <w:rsid w:val="009903C7"/>
    <w:rsid w:val="00990A8F"/>
    <w:rsid w:val="00990C14"/>
    <w:rsid w:val="00992BE8"/>
    <w:rsid w:val="00994DEF"/>
    <w:rsid w:val="00995505"/>
    <w:rsid w:val="00995859"/>
    <w:rsid w:val="0099697B"/>
    <w:rsid w:val="00996A30"/>
    <w:rsid w:val="00996A5B"/>
    <w:rsid w:val="0099718B"/>
    <w:rsid w:val="009A014A"/>
    <w:rsid w:val="009A076A"/>
    <w:rsid w:val="009A0D65"/>
    <w:rsid w:val="009A0FD8"/>
    <w:rsid w:val="009A18D5"/>
    <w:rsid w:val="009A1A1A"/>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7B69"/>
    <w:rsid w:val="00A07F9F"/>
    <w:rsid w:val="00A07FB2"/>
    <w:rsid w:val="00A105DA"/>
    <w:rsid w:val="00A106A5"/>
    <w:rsid w:val="00A10CC6"/>
    <w:rsid w:val="00A11857"/>
    <w:rsid w:val="00A11F28"/>
    <w:rsid w:val="00A1285F"/>
    <w:rsid w:val="00A133AB"/>
    <w:rsid w:val="00A13DDF"/>
    <w:rsid w:val="00A16956"/>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901D9"/>
    <w:rsid w:val="00A90237"/>
    <w:rsid w:val="00A902FE"/>
    <w:rsid w:val="00A90373"/>
    <w:rsid w:val="00A90800"/>
    <w:rsid w:val="00A9122B"/>
    <w:rsid w:val="00A913AC"/>
    <w:rsid w:val="00A917B6"/>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EC4"/>
    <w:rsid w:val="00B10FDF"/>
    <w:rsid w:val="00B1268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802"/>
    <w:rsid w:val="00B26936"/>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4F0F"/>
    <w:rsid w:val="00B75C0B"/>
    <w:rsid w:val="00B76AB9"/>
    <w:rsid w:val="00B76B3C"/>
    <w:rsid w:val="00B76DD8"/>
    <w:rsid w:val="00B770F3"/>
    <w:rsid w:val="00B77D9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242C"/>
    <w:rsid w:val="00D52774"/>
    <w:rsid w:val="00D53875"/>
    <w:rsid w:val="00D53C05"/>
    <w:rsid w:val="00D550D0"/>
    <w:rsid w:val="00D56684"/>
    <w:rsid w:val="00D56757"/>
    <w:rsid w:val="00D5725A"/>
    <w:rsid w:val="00D579D2"/>
    <w:rsid w:val="00D57A0D"/>
    <w:rsid w:val="00D57FD5"/>
    <w:rsid w:val="00D60970"/>
    <w:rsid w:val="00D61D8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55DD"/>
    <w:rsid w:val="00DD55E2"/>
    <w:rsid w:val="00DD64BB"/>
    <w:rsid w:val="00DE0283"/>
    <w:rsid w:val="00DE06E9"/>
    <w:rsid w:val="00DE2660"/>
    <w:rsid w:val="00DE2DFA"/>
    <w:rsid w:val="00DE3EC1"/>
    <w:rsid w:val="00DE49FA"/>
    <w:rsid w:val="00DE50EC"/>
    <w:rsid w:val="00DE7889"/>
    <w:rsid w:val="00DE7A0D"/>
    <w:rsid w:val="00DE7A76"/>
    <w:rsid w:val="00DF0910"/>
    <w:rsid w:val="00DF1049"/>
    <w:rsid w:val="00DF22E3"/>
    <w:rsid w:val="00DF2C18"/>
    <w:rsid w:val="00DF2E8D"/>
    <w:rsid w:val="00DF32F5"/>
    <w:rsid w:val="00DF403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4A4A"/>
    <w:rsid w:val="00E6533A"/>
    <w:rsid w:val="00E66242"/>
    <w:rsid w:val="00E67439"/>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2B3F"/>
    <w:rsid w:val="00EA2C32"/>
    <w:rsid w:val="00EA2CC7"/>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6244"/>
    <w:rsid w:val="00EC1281"/>
    <w:rsid w:val="00EC1721"/>
    <w:rsid w:val="00EC220B"/>
    <w:rsid w:val="00EC2D97"/>
    <w:rsid w:val="00EC2F75"/>
    <w:rsid w:val="00EC365F"/>
    <w:rsid w:val="00EC3693"/>
    <w:rsid w:val="00EC5734"/>
    <w:rsid w:val="00EC5DC8"/>
    <w:rsid w:val="00EC605D"/>
    <w:rsid w:val="00EC6160"/>
    <w:rsid w:val="00EC7700"/>
    <w:rsid w:val="00EC7DC8"/>
    <w:rsid w:val="00EC7F72"/>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7FF"/>
    <w:rsid w:val="00F53B5C"/>
    <w:rsid w:val="00F55324"/>
    <w:rsid w:val="00F55B55"/>
    <w:rsid w:val="00F55F4D"/>
    <w:rsid w:val="00F5720C"/>
    <w:rsid w:val="00F57466"/>
    <w:rsid w:val="00F575BC"/>
    <w:rsid w:val="00F5786F"/>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20649</TotalTime>
  <Pages>1</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463</cp:revision>
  <cp:lastPrinted>2025-02-08T07:14:00Z</cp:lastPrinted>
  <dcterms:created xsi:type="dcterms:W3CDTF">2022-10-16T08:36:00Z</dcterms:created>
  <dcterms:modified xsi:type="dcterms:W3CDTF">2025-02-12T07:57:00Z</dcterms:modified>
</cp:coreProperties>
</file>